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62" w:rsidRPr="00374982" w:rsidRDefault="00280662" w:rsidP="00374982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982">
        <w:rPr>
          <w:rFonts w:ascii="Times New Roman" w:hAnsi="Times New Roman" w:cs="Times New Roman"/>
          <w:sz w:val="28"/>
          <w:szCs w:val="28"/>
        </w:rPr>
        <w:t>Музыкальная литература 2 класс</w:t>
      </w:r>
    </w:p>
    <w:p w:rsidR="00374982" w:rsidRPr="00961BC1" w:rsidRDefault="00280662" w:rsidP="00374982">
      <w:pPr>
        <w:jc w:val="center"/>
        <w:rPr>
          <w:rFonts w:ascii="Times New Roman" w:hAnsi="Times New Roman" w:cs="Times New Roman"/>
          <w:sz w:val="28"/>
          <w:szCs w:val="28"/>
          <w:highlight w:val="green"/>
        </w:rPr>
      </w:pPr>
      <w:r w:rsidRPr="00961BC1">
        <w:rPr>
          <w:rFonts w:ascii="Times New Roman" w:hAnsi="Times New Roman" w:cs="Times New Roman"/>
          <w:sz w:val="28"/>
          <w:szCs w:val="28"/>
          <w:highlight w:val="green"/>
        </w:rPr>
        <w:t xml:space="preserve">ФОРТЕПИАННОЕ ТВОРЧЕСТВО </w:t>
      </w:r>
      <w:proofErr w:type="spellStart"/>
      <w:r w:rsidR="00374982" w:rsidRPr="00961BC1">
        <w:rPr>
          <w:rFonts w:ascii="Times New Roman" w:hAnsi="Times New Roman" w:cs="Times New Roman"/>
          <w:sz w:val="28"/>
          <w:szCs w:val="28"/>
          <w:highlight w:val="green"/>
        </w:rPr>
        <w:t>Ф.Шопена</w:t>
      </w:r>
      <w:proofErr w:type="spellEnd"/>
    </w:p>
    <w:p w:rsidR="00374982" w:rsidRPr="00374982" w:rsidRDefault="00961BC1" w:rsidP="00374982">
      <w:pPr>
        <w:jc w:val="both"/>
        <w:rPr>
          <w:rFonts w:ascii="Times New Roman" w:hAnsi="Times New Roman" w:cs="Times New Roman"/>
          <w:sz w:val="28"/>
          <w:szCs w:val="28"/>
        </w:rPr>
      </w:pPr>
      <w:r w:rsidRPr="00961BC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 xml:space="preserve">  </w:t>
      </w:r>
      <w:r w:rsidR="00374982" w:rsidRPr="00961BC1">
        <w:rPr>
          <w:rFonts w:ascii="Times New Roman" w:hAnsi="Times New Roman" w:cs="Times New Roman"/>
          <w:color w:val="000000"/>
          <w:sz w:val="28"/>
          <w:szCs w:val="28"/>
          <w:highlight w:val="green"/>
        </w:rPr>
        <w:t>Особенность творческого наследия Ф. Шопена — почти все его сочинения созданы для фортепиано. Его называют «певцом одного инструмента».</w:t>
      </w:r>
    </w:p>
    <w:p w:rsidR="003A1985" w:rsidRDefault="003A1985" w:rsidP="003749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65C46B" wp14:editId="116E96DB">
            <wp:extent cx="2799208" cy="3543300"/>
            <wp:effectExtent l="0" t="0" r="1270" b="0"/>
            <wp:docPr id="6" name="Рисунок 6" descr="https://avatars.mds.yandex.net/get-zen_doc/50129/pub_5ab4c8af168a91d3c6e8b546_5ab7480558166909c8415710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50129/pub_5ab4c8af168a91d3c6e8b546_5ab7480558166909c8415710/scale_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208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982" w:rsidRPr="00374982" w:rsidRDefault="00374982" w:rsidP="003749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Композитор значительно расширил технические и колористические возможности инструмента, создал собственный исполнительский стиль.</w:t>
      </w:r>
    </w:p>
    <w:p w:rsidR="00374982" w:rsidRPr="00374982" w:rsidRDefault="00961BC1" w:rsidP="003749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74982" w:rsidRPr="00374982"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  <w:t>Большинство произведений Ф. Шопена за очень редким исключением не имеют программных названий, но во многих из них так или иначе представлена тема утраченной Родины.</w:t>
      </w:r>
    </w:p>
    <w:p w:rsidR="00374982" w:rsidRPr="00961BC1" w:rsidRDefault="00374982" w:rsidP="00961B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green"/>
          <w:lang w:eastAsia="ru-RU"/>
        </w:rPr>
      </w:pPr>
      <w:r w:rsidRPr="00374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green"/>
          <w:lang w:eastAsia="ru-RU"/>
        </w:rPr>
        <w:t>Жанры фортепианной музыки Шопена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74982" w:rsidRPr="00961BC1" w:rsidTr="00283925">
        <w:tc>
          <w:tcPr>
            <w:tcW w:w="4785" w:type="dxa"/>
            <w:gridSpan w:val="2"/>
          </w:tcPr>
          <w:p w:rsidR="00374982" w:rsidRPr="00961BC1" w:rsidRDefault="00374982" w:rsidP="00961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Произведения крупной формы</w:t>
            </w:r>
          </w:p>
        </w:tc>
        <w:tc>
          <w:tcPr>
            <w:tcW w:w="4786" w:type="dxa"/>
            <w:gridSpan w:val="2"/>
          </w:tcPr>
          <w:p w:rsidR="00374982" w:rsidRPr="00961BC1" w:rsidRDefault="00374982" w:rsidP="00961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Фортепианная миниатюра</w:t>
            </w:r>
          </w:p>
        </w:tc>
      </w:tr>
      <w:tr w:rsidR="00374982" w:rsidRPr="00961BC1" w:rsidTr="00374982">
        <w:tc>
          <w:tcPr>
            <w:tcW w:w="2392" w:type="dxa"/>
          </w:tcPr>
          <w:p w:rsidR="00374982" w:rsidRPr="00961BC1" w:rsidRDefault="00374982" w:rsidP="003749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романтические</w:t>
            </w:r>
          </w:p>
        </w:tc>
        <w:tc>
          <w:tcPr>
            <w:tcW w:w="2393" w:type="dxa"/>
          </w:tcPr>
          <w:p w:rsidR="00374982" w:rsidRPr="00961BC1" w:rsidRDefault="00374982" w:rsidP="00961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классические</w:t>
            </w:r>
          </w:p>
        </w:tc>
        <w:tc>
          <w:tcPr>
            <w:tcW w:w="2393" w:type="dxa"/>
          </w:tcPr>
          <w:p w:rsidR="00374982" w:rsidRPr="00961BC1" w:rsidRDefault="00374982" w:rsidP="00961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proofErr w:type="gramStart"/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Связанные</w:t>
            </w:r>
            <w:proofErr w:type="gramEnd"/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 xml:space="preserve"> с национальными истоками</w:t>
            </w:r>
          </w:p>
        </w:tc>
        <w:tc>
          <w:tcPr>
            <w:tcW w:w="2393" w:type="dxa"/>
          </w:tcPr>
          <w:p w:rsidR="00374982" w:rsidRPr="00961BC1" w:rsidRDefault="00374982" w:rsidP="00961B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proofErr w:type="gramStart"/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Традиционные для романтической фортепианной музыки</w:t>
            </w:r>
            <w:proofErr w:type="gramEnd"/>
          </w:p>
        </w:tc>
      </w:tr>
      <w:tr w:rsidR="00374982" w:rsidTr="00374982">
        <w:tc>
          <w:tcPr>
            <w:tcW w:w="2392" w:type="dxa"/>
          </w:tcPr>
          <w:p w:rsidR="00374982" w:rsidRPr="00961BC1" w:rsidRDefault="00961BC1" w:rsidP="003749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Баллады, скерцо, фантазии, экспромты</w:t>
            </w:r>
          </w:p>
        </w:tc>
        <w:tc>
          <w:tcPr>
            <w:tcW w:w="2393" w:type="dxa"/>
          </w:tcPr>
          <w:p w:rsidR="00374982" w:rsidRPr="00961BC1" w:rsidRDefault="00961BC1" w:rsidP="003749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Сонаты, концерты для фортепиано с оркестром, рондо, вариации</w:t>
            </w:r>
          </w:p>
        </w:tc>
        <w:tc>
          <w:tcPr>
            <w:tcW w:w="2393" w:type="dxa"/>
          </w:tcPr>
          <w:p w:rsidR="00374982" w:rsidRPr="00961BC1" w:rsidRDefault="00961BC1" w:rsidP="00961BC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Мазурки, полонезы</w:t>
            </w:r>
          </w:p>
        </w:tc>
        <w:tc>
          <w:tcPr>
            <w:tcW w:w="2393" w:type="dxa"/>
          </w:tcPr>
          <w:p w:rsidR="00374982" w:rsidRPr="00961BC1" w:rsidRDefault="00961BC1" w:rsidP="0037498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61B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  <w:t>Этюды, прелюдии, ноктюрны, вальсы</w:t>
            </w:r>
          </w:p>
        </w:tc>
      </w:tr>
    </w:tbl>
    <w:p w:rsidR="00961BC1" w:rsidRPr="00961BC1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BC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lang w:eastAsia="ru-RU"/>
        </w:rPr>
        <w:lastRenderedPageBreak/>
        <w:t xml:space="preserve">Ноктюрн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(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в переводе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— ночная песнь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)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Композиторы-классики, в том числе Й. Гайдн и В.А. Моцарт, писали ноктюрны, которые исполнялись в ночное время ансамблем духовых или струнных инструментов.</w:t>
      </w:r>
    </w:p>
    <w:p w:rsidR="00374982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XIX веке возник романтический вариант трактовки ноктюрна.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Это небольшая лирическая пьеса для фортепиано.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Первым их начал сочинять ирландский композитор и пианист Джон </w:t>
      </w:r>
      <w:proofErr w:type="spellStart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Фильд</w:t>
      </w:r>
      <w:proofErr w:type="spellEnd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. Особенность ноктюрна — приоритет мелодии (в правой руке) над мягким аккомпанементом (в левой руке).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Ф. Шопен — автор 21 ноктюрна.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Наряду с традиционной лирической трактовкой композитор создал ноктюрны-драмы и ноктюрны-монологи.</w:t>
      </w:r>
    </w:p>
    <w:p w:rsidR="00961BC1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BC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lang w:eastAsia="ru-RU"/>
        </w:rPr>
        <w:t>Полонез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(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в переводе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— польский танец) возник в Польше на основе народного танца-шествия торжественного характера. В XVIII веке распространился в Европе. Полонез открывал придворные праздники и балы. В творчестве польских композиторов стал символом национальной гордости, романтической поэмой о Родине.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Творчество </w:t>
      </w:r>
      <w:proofErr w:type="spellStart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Ф.Шопена</w:t>
      </w:r>
      <w:proofErr w:type="spellEnd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— кульминация в развитии жанра. Всего композитор создал 16 полонезов.</w:t>
      </w:r>
    </w:p>
    <w:p w:rsidR="003A1985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6B9814C" wp14:editId="15A1FE0E">
            <wp:simplePos x="0" y="0"/>
            <wp:positionH relativeFrom="column">
              <wp:posOffset>-26670</wp:posOffset>
            </wp:positionH>
            <wp:positionV relativeFrom="paragraph">
              <wp:posOffset>55245</wp:posOffset>
            </wp:positionV>
            <wp:extent cx="646430" cy="652145"/>
            <wp:effectExtent l="0" t="0" r="0" b="0"/>
            <wp:wrapTight wrapText="bothSides">
              <wp:wrapPolygon edited="0">
                <wp:start x="10821" y="0"/>
                <wp:lineTo x="9548" y="1893"/>
                <wp:lineTo x="6365" y="9464"/>
                <wp:lineTo x="7002" y="20822"/>
                <wp:lineTo x="12731" y="20822"/>
                <wp:lineTo x="14640" y="17667"/>
                <wp:lineTo x="14640" y="1893"/>
                <wp:lineTo x="14004" y="0"/>
                <wp:lineTo x="1082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985" w:rsidRPr="003A1985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3A198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u w:val="single"/>
          <w:lang w:eastAsia="ru-RU"/>
        </w:rPr>
        <w:t>Полонез Ля мажор</w:t>
      </w:r>
    </w:p>
    <w:p w:rsidR="003A1985" w:rsidRDefault="003A1985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highlight w:val="green"/>
        </w:rPr>
      </w:pPr>
    </w:p>
    <w:p w:rsidR="00961BC1" w:rsidRP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61BC1">
        <w:rPr>
          <w:b/>
          <w:i/>
          <w:color w:val="000000"/>
          <w:sz w:val="28"/>
          <w:szCs w:val="28"/>
          <w:highlight w:val="green"/>
        </w:rPr>
        <w:t xml:space="preserve">Мазурка </w:t>
      </w:r>
      <w:r w:rsidRPr="00961BC1">
        <w:rPr>
          <w:color w:val="000000"/>
          <w:sz w:val="28"/>
          <w:szCs w:val="28"/>
          <w:highlight w:val="green"/>
        </w:rPr>
        <w:t>(польск. </w:t>
      </w:r>
      <w:proofErr w:type="spellStart"/>
      <w:r w:rsidRPr="00961BC1">
        <w:rPr>
          <w:rStyle w:val="italic"/>
          <w:i/>
          <w:iCs/>
          <w:color w:val="000000"/>
          <w:sz w:val="28"/>
          <w:szCs w:val="28"/>
          <w:highlight w:val="green"/>
        </w:rPr>
        <w:t>Mazurek</w:t>
      </w:r>
      <w:proofErr w:type="spellEnd"/>
      <w:r w:rsidRPr="00961BC1">
        <w:rPr>
          <w:color w:val="000000"/>
          <w:sz w:val="28"/>
          <w:szCs w:val="28"/>
          <w:highlight w:val="green"/>
        </w:rPr>
        <w:t xml:space="preserve"> — </w:t>
      </w:r>
      <w:proofErr w:type="spellStart"/>
      <w:r w:rsidRPr="00961BC1">
        <w:rPr>
          <w:color w:val="000000"/>
          <w:sz w:val="28"/>
          <w:szCs w:val="28"/>
          <w:highlight w:val="green"/>
        </w:rPr>
        <w:t>мазур</w:t>
      </w:r>
      <w:proofErr w:type="spellEnd"/>
      <w:r w:rsidRPr="00961BC1">
        <w:rPr>
          <w:color w:val="000000"/>
          <w:sz w:val="28"/>
          <w:szCs w:val="28"/>
          <w:highlight w:val="green"/>
        </w:rPr>
        <w:t xml:space="preserve">, житель </w:t>
      </w:r>
      <w:proofErr w:type="spellStart"/>
      <w:r w:rsidRPr="00961BC1">
        <w:rPr>
          <w:color w:val="000000"/>
          <w:sz w:val="28"/>
          <w:szCs w:val="28"/>
          <w:highlight w:val="green"/>
        </w:rPr>
        <w:t>Мазовии</w:t>
      </w:r>
      <w:proofErr w:type="spellEnd"/>
      <w:r w:rsidRPr="00961BC1">
        <w:rPr>
          <w:color w:val="000000"/>
          <w:sz w:val="28"/>
          <w:szCs w:val="28"/>
          <w:highlight w:val="green"/>
        </w:rPr>
        <w:t xml:space="preserve">) — польский трёхдольный танец, название которого связано с народностью </w:t>
      </w:r>
      <w:proofErr w:type="spellStart"/>
      <w:r w:rsidRPr="00961BC1">
        <w:rPr>
          <w:color w:val="000000"/>
          <w:sz w:val="28"/>
          <w:szCs w:val="28"/>
          <w:highlight w:val="green"/>
        </w:rPr>
        <w:t>мазуров</w:t>
      </w:r>
      <w:proofErr w:type="spellEnd"/>
      <w:r w:rsidRPr="00961BC1">
        <w:rPr>
          <w:color w:val="000000"/>
          <w:sz w:val="28"/>
          <w:szCs w:val="28"/>
          <w:highlight w:val="green"/>
        </w:rPr>
        <w:t xml:space="preserve">, которые жили на территории </w:t>
      </w:r>
      <w:proofErr w:type="spellStart"/>
      <w:r w:rsidRPr="00961BC1">
        <w:rPr>
          <w:color w:val="000000"/>
          <w:sz w:val="28"/>
          <w:szCs w:val="28"/>
          <w:highlight w:val="green"/>
        </w:rPr>
        <w:t>Мазовии</w:t>
      </w:r>
      <w:proofErr w:type="spellEnd"/>
      <w:r w:rsidRPr="00961BC1">
        <w:rPr>
          <w:color w:val="000000"/>
          <w:sz w:val="28"/>
          <w:szCs w:val="28"/>
          <w:highlight w:val="green"/>
        </w:rPr>
        <w:t>.</w:t>
      </w:r>
      <w:proofErr w:type="gramEnd"/>
      <w:r w:rsidRPr="00961BC1">
        <w:rPr>
          <w:color w:val="000000"/>
          <w:sz w:val="28"/>
          <w:szCs w:val="28"/>
          <w:highlight w:val="green"/>
        </w:rPr>
        <w:t xml:space="preserve"> </w:t>
      </w:r>
      <w:r w:rsidRPr="00961BC1">
        <w:rPr>
          <w:color w:val="000000"/>
          <w:sz w:val="28"/>
          <w:szCs w:val="28"/>
          <w:highlight w:val="green"/>
        </w:rPr>
        <w:t>Характерная особенность мазурки — острый пунктирный ритм и смещение акцента то на вторую, то на третью доли такта. Танец исполнялся в быстром темпе и включал в себя прыжки.</w:t>
      </w:r>
    </w:p>
    <w:p w:rsidR="00961BC1" w:rsidRPr="00961BC1" w:rsidRDefault="00961BC1" w:rsidP="00961BC1">
      <w:pPr>
        <w:pStyle w:val="mb-07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961BC1">
        <w:rPr>
          <w:color w:val="000000"/>
          <w:sz w:val="28"/>
          <w:szCs w:val="28"/>
        </w:rPr>
        <w:t>В XIX веке мазурка получила распространение в Европе как бальный танец. В творчестве польских композиторов мазурка утвердилась как символ польского национального музыкального искусства.</w:t>
      </w:r>
    </w:p>
    <w:p w:rsidR="00961BC1" w:rsidRPr="00961BC1" w:rsidRDefault="00961BC1" w:rsidP="00961BC1">
      <w:pPr>
        <w:pStyle w:val="mb-075"/>
        <w:shd w:val="clear" w:color="auto" w:fill="FFFFFF"/>
        <w:jc w:val="both"/>
        <w:rPr>
          <w:color w:val="000000"/>
          <w:sz w:val="28"/>
          <w:szCs w:val="28"/>
          <w:highlight w:val="green"/>
        </w:rPr>
      </w:pPr>
      <w:r>
        <w:rPr>
          <w:color w:val="000000"/>
          <w:sz w:val="28"/>
          <w:szCs w:val="28"/>
        </w:rPr>
        <w:t xml:space="preserve">  </w:t>
      </w:r>
      <w:r w:rsidRPr="00961BC1">
        <w:rPr>
          <w:color w:val="000000"/>
          <w:sz w:val="28"/>
          <w:szCs w:val="28"/>
          <w:highlight w:val="green"/>
        </w:rPr>
        <w:t>В фортепианной музыке Ф. Шопена мазурка играет ведущую роль, в этом жанре композитором создано наибольшее количество произведений.</w:t>
      </w:r>
      <w:r w:rsidRPr="00961BC1">
        <w:rPr>
          <w:color w:val="000000"/>
          <w:sz w:val="28"/>
          <w:szCs w:val="28"/>
          <w:highlight w:val="green"/>
        </w:rPr>
        <w:t xml:space="preserve"> </w:t>
      </w:r>
      <w:r w:rsidRPr="00961BC1">
        <w:rPr>
          <w:color w:val="000000"/>
          <w:sz w:val="28"/>
          <w:szCs w:val="28"/>
          <w:highlight w:val="green"/>
        </w:rPr>
        <w:t>Всего — 58 мазурок.</w:t>
      </w:r>
      <w:r w:rsidRPr="00961BC1">
        <w:rPr>
          <w:color w:val="000000"/>
          <w:sz w:val="28"/>
          <w:szCs w:val="28"/>
          <w:highlight w:val="green"/>
        </w:rPr>
        <w:t xml:space="preserve"> </w:t>
      </w:r>
      <w:r w:rsidRPr="00961BC1">
        <w:rPr>
          <w:color w:val="000000"/>
          <w:sz w:val="28"/>
          <w:szCs w:val="28"/>
          <w:highlight w:val="green"/>
        </w:rPr>
        <w:t>Выделяют три группы мазурок:</w:t>
      </w:r>
    </w:p>
    <w:p w:rsidR="00961BC1" w:rsidRP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green"/>
        </w:rPr>
      </w:pPr>
      <w:r w:rsidRPr="00961BC1">
        <w:rPr>
          <w:rStyle w:val="textbase"/>
          <w:color w:val="4B4B4B"/>
          <w:sz w:val="28"/>
          <w:szCs w:val="28"/>
          <w:highlight w:val="green"/>
        </w:rPr>
        <w:t>• </w:t>
      </w:r>
      <w:r w:rsidRPr="00961BC1">
        <w:rPr>
          <w:color w:val="000000"/>
          <w:sz w:val="28"/>
          <w:szCs w:val="28"/>
          <w:highlight w:val="green"/>
        </w:rPr>
        <w:t>народные;</w:t>
      </w:r>
    </w:p>
    <w:p w:rsidR="00961BC1" w:rsidRP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green"/>
        </w:rPr>
      </w:pPr>
      <w:r w:rsidRPr="00961BC1">
        <w:rPr>
          <w:rStyle w:val="textbase"/>
          <w:color w:val="4B4B4B"/>
          <w:sz w:val="28"/>
          <w:szCs w:val="28"/>
          <w:highlight w:val="green"/>
        </w:rPr>
        <w:t>• </w:t>
      </w:r>
      <w:r w:rsidRPr="00961BC1">
        <w:rPr>
          <w:color w:val="000000"/>
          <w:sz w:val="28"/>
          <w:szCs w:val="28"/>
          <w:highlight w:val="green"/>
        </w:rPr>
        <w:t>блестящие бальные;</w:t>
      </w:r>
    </w:p>
    <w:p w:rsid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green"/>
        </w:rPr>
      </w:pPr>
      <w:r w:rsidRPr="00961BC1">
        <w:rPr>
          <w:rStyle w:val="textbase"/>
          <w:color w:val="4B4B4B"/>
          <w:sz w:val="28"/>
          <w:szCs w:val="28"/>
          <w:highlight w:val="green"/>
        </w:rPr>
        <w:t>• </w:t>
      </w:r>
      <w:r w:rsidRPr="00961BC1">
        <w:rPr>
          <w:color w:val="000000"/>
          <w:sz w:val="28"/>
          <w:szCs w:val="28"/>
          <w:highlight w:val="green"/>
        </w:rPr>
        <w:t>лирические.</w:t>
      </w:r>
    </w:p>
    <w:p w:rsidR="003A1985" w:rsidRDefault="003A1985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green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C7A5C5A" wp14:editId="5D35D377">
            <wp:simplePos x="0" y="0"/>
            <wp:positionH relativeFrom="column">
              <wp:posOffset>34290</wp:posOffset>
            </wp:positionH>
            <wp:positionV relativeFrom="paragraph">
              <wp:posOffset>67945</wp:posOffset>
            </wp:positionV>
            <wp:extent cx="646430" cy="65214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985" w:rsidRDefault="003A1985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green"/>
        </w:rPr>
      </w:pPr>
    </w:p>
    <w:p w:rsidR="003A1985" w:rsidRPr="003A1985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u w:val="single"/>
          <w:lang w:eastAsia="ru-RU"/>
        </w:rPr>
      </w:pPr>
      <w:r w:rsidRPr="003A198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u w:val="single"/>
          <w:lang w:eastAsia="ru-RU"/>
        </w:rPr>
        <w:t>Мазурка Си-бемоль мажор</w:t>
      </w:r>
    </w:p>
    <w:p w:rsidR="00961BC1" w:rsidRPr="00961BC1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61BC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lang w:eastAsia="ru-RU"/>
        </w:rPr>
        <w:t>Вальс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(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в переводе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— кружиться в танце) — один из наиболее распространённых европейских танцев. Характерная особенность вальса — трёхдольный метр с регулярным акцентом на сильную первую долю такта.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Танец возник в Австрии и Южной Германии в конце XVIII столетия. В XIX веке вальс стал наиболее известным и популярным танцем.</w:t>
      </w:r>
    </w:p>
    <w:p w:rsidR="00961BC1" w:rsidRPr="003A1985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Композиторы-романтики XIX века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неоднократно использовали вальс и ритмический рисунок этого танца для создания лирических сочинений.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Трактовка вальса как лирико-поэтического произведения характерна и для </w:t>
      </w:r>
      <w:proofErr w:type="spellStart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Ф.Шопена</w:t>
      </w:r>
      <w:proofErr w:type="spellEnd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. Всего он создал 17 вальсов.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Выделяют две группы:</w:t>
      </w:r>
    </w:p>
    <w:p w:rsidR="00961BC1" w:rsidRPr="003A1985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</w:pP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• виртуозные, блестящие танцы;</w:t>
      </w:r>
    </w:p>
    <w:p w:rsidR="00961BC1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5176F84F" wp14:editId="5C20C624">
            <wp:simplePos x="0" y="0"/>
            <wp:positionH relativeFrom="column">
              <wp:posOffset>186690</wp:posOffset>
            </wp:positionH>
            <wp:positionV relativeFrom="paragraph">
              <wp:posOffset>541020</wp:posOffset>
            </wp:positionV>
            <wp:extent cx="646430" cy="652145"/>
            <wp:effectExtent l="0" t="0" r="0" b="0"/>
            <wp:wrapTight wrapText="bothSides">
              <wp:wrapPolygon edited="0">
                <wp:start x="10821" y="0"/>
                <wp:lineTo x="9548" y="1893"/>
                <wp:lineTo x="6365" y="9464"/>
                <wp:lineTo x="7002" y="20822"/>
                <wp:lineTo x="12731" y="20822"/>
                <wp:lineTo x="14640" y="17667"/>
                <wp:lineTo x="14640" y="1893"/>
                <wp:lineTo x="14004" y="0"/>
                <wp:lineTo x="10821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1BC1"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• лирические композиции, в которых танец — повод для раскрытия внутреннего мира человека.</w:t>
      </w:r>
    </w:p>
    <w:p w:rsidR="003A1985" w:rsidRPr="003A1985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3A198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u w:val="single"/>
          <w:lang w:eastAsia="ru-RU"/>
        </w:rPr>
        <w:t>Вальс до-диез минор</w:t>
      </w:r>
    </w:p>
    <w:p w:rsidR="003A1985" w:rsidRDefault="003A1985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lang w:eastAsia="ru-RU"/>
        </w:rPr>
      </w:pPr>
    </w:p>
    <w:p w:rsidR="00961BC1" w:rsidRPr="00961BC1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3A198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highlight w:val="green"/>
          <w:lang w:eastAsia="ru-RU"/>
        </w:rPr>
        <w:t xml:space="preserve">Этюд 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(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в переводе 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— изучение) — в музыке это пьеса, предназначенная для совершенствования техники игры на инструменте.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XIX веке в связи с развитием концертно-виртуозного фортепианного стиля появилось множество этюдов таких авторов, как К. Черни, М. </w:t>
      </w:r>
      <w:proofErr w:type="spellStart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Клементи</w:t>
      </w:r>
      <w:proofErr w:type="spellEnd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И. </w:t>
      </w:r>
      <w:proofErr w:type="spellStart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Крамер</w:t>
      </w:r>
      <w:proofErr w:type="spellEnd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И. </w:t>
      </w:r>
      <w:proofErr w:type="spellStart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Мошелес</w:t>
      </w:r>
      <w:proofErr w:type="spellEnd"/>
      <w:r w:rsidRPr="00961B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61BC1" w:rsidRDefault="00961BC1" w:rsidP="00961BC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Ф.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Шопен</w:t>
      </w:r>
      <w:proofErr w:type="spellEnd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и </w:t>
      </w:r>
      <w:proofErr w:type="spellStart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Ф.Лист</w:t>
      </w:r>
      <w:proofErr w:type="spellEnd"/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представили новую трактовку жанра этюда как эффектной концертной пьесы с глубоким художественным содержанием.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 xml:space="preserve"> </w:t>
      </w:r>
      <w:r w:rsidRPr="003A198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green"/>
          <w:lang w:eastAsia="ru-RU"/>
        </w:rPr>
        <w:t>Всего Шопеном создано 27 этюдов.</w:t>
      </w:r>
    </w:p>
    <w:p w:rsidR="00961BC1" w:rsidRP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985">
        <w:rPr>
          <w:b/>
          <w:i/>
          <w:color w:val="000000"/>
          <w:sz w:val="28"/>
          <w:szCs w:val="28"/>
          <w:highlight w:val="green"/>
        </w:rPr>
        <w:t>Прелюдия</w:t>
      </w:r>
      <w:r w:rsidRPr="003A1985">
        <w:rPr>
          <w:color w:val="000000"/>
          <w:sz w:val="28"/>
          <w:szCs w:val="28"/>
          <w:highlight w:val="green"/>
        </w:rPr>
        <w:t xml:space="preserve"> (лат. </w:t>
      </w:r>
      <w:proofErr w:type="spellStart"/>
      <w:r w:rsidRPr="003A1985">
        <w:rPr>
          <w:rStyle w:val="italic"/>
          <w:i/>
          <w:iCs/>
          <w:color w:val="000000"/>
          <w:sz w:val="28"/>
          <w:szCs w:val="28"/>
          <w:highlight w:val="green"/>
        </w:rPr>
        <w:t>praeludo</w:t>
      </w:r>
      <w:proofErr w:type="spellEnd"/>
      <w:r w:rsidRPr="003A1985">
        <w:rPr>
          <w:color w:val="000000"/>
          <w:sz w:val="28"/>
          <w:szCs w:val="28"/>
          <w:highlight w:val="green"/>
        </w:rPr>
        <w:t> — играю предварительно) — небольшая инструментальная пьеса, которая могла быть самостоятельной, но значительно чаще сочинялась как элемент цикла</w:t>
      </w:r>
      <w:r w:rsidRPr="00961BC1">
        <w:rPr>
          <w:color w:val="000000"/>
          <w:sz w:val="28"/>
          <w:szCs w:val="28"/>
        </w:rPr>
        <w:t xml:space="preserve"> (Прелюдия и фуга или в составе сюиты). Такая трактовка жанра сохранялась на протяжении XVI — XVIII веков. И.С. Бах в каждом из двух томов «Хорошо темперированного клавира» создал по 24 прелюдии и фуги во всех тональностях.</w:t>
      </w:r>
    </w:p>
    <w:p w:rsidR="00961BC1" w:rsidRPr="00961BC1" w:rsidRDefault="00961BC1" w:rsidP="00961B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3A1985">
        <w:rPr>
          <w:color w:val="000000"/>
          <w:sz w:val="28"/>
          <w:szCs w:val="28"/>
          <w:highlight w:val="green"/>
        </w:rPr>
        <w:t>В XIX веке, благодаря Ф. Шопену, жанр получил новую трактовку. Прелюдия становится законченной миниатюрой, которая кратко, но очень глубоко воплощает то или иное содержание.</w:t>
      </w:r>
      <w:r w:rsidRPr="003A1985">
        <w:rPr>
          <w:color w:val="000000"/>
          <w:sz w:val="28"/>
          <w:szCs w:val="28"/>
          <w:highlight w:val="green"/>
        </w:rPr>
        <w:t xml:space="preserve"> </w:t>
      </w:r>
      <w:r w:rsidRPr="003A1985">
        <w:rPr>
          <w:color w:val="000000"/>
          <w:sz w:val="28"/>
          <w:szCs w:val="28"/>
          <w:highlight w:val="green"/>
        </w:rPr>
        <w:t>Всего Ф. Шопен создал 27 прелюдий (цикл 24 прелюдии и 3 отдельные пьесы).</w:t>
      </w:r>
      <w:r w:rsidRPr="003A1985">
        <w:rPr>
          <w:color w:val="000000"/>
          <w:sz w:val="28"/>
          <w:szCs w:val="28"/>
          <w:highlight w:val="green"/>
        </w:rPr>
        <w:t xml:space="preserve"> </w:t>
      </w:r>
      <w:r w:rsidRPr="003A1985">
        <w:rPr>
          <w:color w:val="000000"/>
          <w:sz w:val="28"/>
          <w:szCs w:val="28"/>
          <w:highlight w:val="green"/>
        </w:rPr>
        <w:t>Каждая прелюдия воссоздаёт один образ — лирический, драматический или трагический.</w:t>
      </w:r>
    </w:p>
    <w:p w:rsidR="003A1985" w:rsidRDefault="003A1985" w:rsidP="003A19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A198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Домашнее задание: Прочитать, </w:t>
      </w:r>
    </w:p>
    <w:p w:rsidR="003A1985" w:rsidRDefault="003A1985" w:rsidP="003A19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A198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выписать в тетрадь главное (выделила зеленым цветом), </w:t>
      </w:r>
    </w:p>
    <w:p w:rsidR="003A1985" w:rsidRPr="003A1985" w:rsidRDefault="003A1985" w:rsidP="003A19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A198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слушать музыку,</w:t>
      </w:r>
    </w:p>
    <w:p w:rsidR="001631B4" w:rsidRPr="003A1985" w:rsidRDefault="003A1985" w:rsidP="003A19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A198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Тесты стр.14 тесты №14, 15</w:t>
      </w:r>
      <w:r w:rsidR="00374982" w:rsidRPr="00374982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07A544C" wp14:editId="3000AB59">
                <wp:extent cx="304800" cy="304800"/>
                <wp:effectExtent l="0" t="0" r="0" b="0"/>
                <wp:docPr id="1" name="AutoShape 1" descr="https://12d94768-61cc-4a6e-8280-6d73805e2555.now.sh/img/511c6e4aae75f41f96d1d9fb852fa72e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12d94768-61cc-4a6e-8280-6d73805e2555.now.sh/img/511c6e4aae75f41f96d1d9fb852fa72e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ocrN+&#10;+gIAABwGAAAOAAAAAAAAAAAAAAAAAC4CAABkcnMvZTJvRG9jLnhtbFBLAQItABQABgAIAAAAIQBM&#10;oOks2AAAAAMBAAAPAAAAAAAAAAAAAAAAAFQFAABkcnMvZG93bnJldi54bWxQSwUGAAAAAAQABADz&#10;AAAAWQYAAAAA&#10;" filled="f" stroked="f">
                <o:lock v:ext="edit" aspectratio="t"/>
                <w10:anchorlock/>
              </v:rect>
            </w:pict>
          </mc:Fallback>
        </mc:AlternateContent>
      </w:r>
    </w:p>
    <w:sectPr w:rsidR="001631B4" w:rsidRPr="003A1985" w:rsidSect="003A19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62"/>
    <w:rsid w:val="001631B4"/>
    <w:rsid w:val="00280662"/>
    <w:rsid w:val="00374982"/>
    <w:rsid w:val="003A1985"/>
    <w:rsid w:val="0096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b-075">
    <w:name w:val="mb-075"/>
    <w:basedOn w:val="a"/>
    <w:rsid w:val="0037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74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6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">
    <w:name w:val="italic"/>
    <w:basedOn w:val="a0"/>
    <w:rsid w:val="00961BC1"/>
  </w:style>
  <w:style w:type="character" w:customStyle="1" w:styleId="textbase">
    <w:name w:val="text_base"/>
    <w:basedOn w:val="a0"/>
    <w:rsid w:val="00961BC1"/>
  </w:style>
  <w:style w:type="paragraph" w:customStyle="1" w:styleId="textheading2">
    <w:name w:val="text_heading_2"/>
    <w:basedOn w:val="a"/>
    <w:rsid w:val="0096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b-075">
    <w:name w:val="mb-075"/>
    <w:basedOn w:val="a"/>
    <w:rsid w:val="0037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74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6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alic">
    <w:name w:val="italic"/>
    <w:basedOn w:val="a0"/>
    <w:rsid w:val="00961BC1"/>
  </w:style>
  <w:style w:type="character" w:customStyle="1" w:styleId="textbase">
    <w:name w:val="text_base"/>
    <w:basedOn w:val="a0"/>
    <w:rsid w:val="00961BC1"/>
  </w:style>
  <w:style w:type="paragraph" w:customStyle="1" w:styleId="textheading2">
    <w:name w:val="text_heading_2"/>
    <w:basedOn w:val="a"/>
    <w:rsid w:val="00961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1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2020-04-18T13:06:00Z</dcterms:created>
  <dcterms:modified xsi:type="dcterms:W3CDTF">2020-04-18T14:55:00Z</dcterms:modified>
</cp:coreProperties>
</file>